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lang w:val="en-US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Cs w:val="21"/>
          <w:lang w:eastAsia="zh-CN"/>
        </w:rPr>
        <w:t>电子商务数据分析竞赛系统购置</w:t>
      </w:r>
      <w:r>
        <w:rPr>
          <w:rFonts w:hint="eastAsia" w:ascii="宋体" w:hAnsi="宋体" w:cs="宋体"/>
          <w:b/>
          <w:bCs/>
          <w:kern w:val="0"/>
          <w:szCs w:val="21"/>
          <w:lang w:val="en-US" w:eastAsia="zh-CN"/>
        </w:rPr>
        <w:t>报价清单</w:t>
      </w:r>
    </w:p>
    <w:bookmarkEnd w:id="0"/>
    <w:tbl>
      <w:tblPr>
        <w:tblStyle w:val="4"/>
        <w:tblW w:w="1096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969"/>
        <w:gridCol w:w="647"/>
        <w:gridCol w:w="426"/>
        <w:gridCol w:w="462"/>
        <w:gridCol w:w="6366"/>
        <w:gridCol w:w="745"/>
        <w:gridCol w:w="8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项号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品牌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数量</w:t>
            </w:r>
          </w:p>
        </w:tc>
        <w:tc>
          <w:tcPr>
            <w:tcW w:w="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6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技术参数及性能配置要求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单价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（元）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合计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电子商务数据分析竞赛系统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博星卓越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套</w:t>
            </w:r>
          </w:p>
        </w:tc>
        <w:tc>
          <w:tcPr>
            <w:tcW w:w="6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一、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系统要求：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.平台主要可完成电子商务数据采集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客户数据、推广数据、销售数据、供应链数据、市场和竞争数据等数据分析，以及数据监控与报告撰写，根据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系统提供任务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数据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完成数据采集、数据处理、数据描述性分析、数据分析与可视化、数据分析报告撰写任务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。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.系统实训任务包含电子商务数据采集与处理方案制定、市场数据分析、运营数据分析、产品数据分析、数据监控与报告撰写五大模块，任务数不少于10个。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.系统自带企业数据中心，提供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实时概况、实时访客榜、整体看板、流量看板、二级流量来源等数据，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内置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店铺、商品、整体商品及商品SKU不同维度，30多种数据指标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.全面的数据分析情境，电子商务数据分析平台要求涵盖较全的数据分析应用情境，包含客户数据分析情境、推广数据分析情境、销售数据分析情境、供应链数据分析情境、市场和竞争数据分析情境。平台支持自定义情境开发。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.产品采用B/S结构，在硬件能满足的条件下对客户端无限制。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★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.软件生产厂商须拥有已经运营成熟的校企对接公共服务外包平台，可供学生在线实习、实训和创业使用，并免费提供平台登录账号供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采购人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师生使用一年而无需在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采购人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场所单独安装。平台可为学生提供600多家企业的124个真实企业任务，1000多个岗位需求，16类互联网电商相关岗位的电子商务真实任务，同时平台上有专家在线指导。（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竞标时需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提供相关证明材料）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★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.软件生产厂商须提供免费的教学资源网站(包括行业资讯、经典案例、精品课程、相关PPT、教学视频、教学大纲、人才培养计划、在线实训)。（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竞标时需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提供相关证明材料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★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.为确保产品质量，软件生产厂商的产品开发人员需至少2人通过CEAC国家信息化计算机教育认证。（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竞标时需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提供相关证明材料）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★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.为方便后期实战教学开展，软件生产厂商须至少同5家电商企业有战略合作关系。（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竞标时需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提供相关合作协议等证明材料）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二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功能模块要求：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（一）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控制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端：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1.比赛设置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可以实现对比赛规则设置、试卷管理、2.试卷创建、比赛设置、考生管理；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2.比赛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管理：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可以实现比赛控制，查看当前比赛状态、开始比赛、结束比赛、比赛延时；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成绩管理：可以实现对学生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竞赛成绩评分、成绩汇总、成绩导出；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4.评委管理：可以实现评委账号的添加及维护；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5.系统设置：可以实现系统的在线更新与维护。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（二）管理员端：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1.基础设置：可以实现对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数据采集基本参数设置包括：数据指标、影响因素、指标管理设置；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1.数据采集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：可以实现对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数据采集背景、背景内容、要求及资源表格维护；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另外也可实现对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内置背景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内容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进行编辑及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使用状态查看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2.数据处理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：可以实现对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数据处理背景、背景内容、要求及资源表格维护；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另外也可实现对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内置背景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内容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进行编辑及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使用状态查看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3.数据描述性分析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：可以实现对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数据描述性分析背景、背景内容、要求及资源表格维护；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另外也可实现对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内置背景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内容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进行编辑及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使用状态查看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4.数据分析与可视化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：可以实现对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市场数据分析、运营数据分析、产品数据分析三个板块数据分析背景、背景内容、要求及资源表格维护；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另外也可实现对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内置背景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内容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进行编辑及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使用状态查看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5.数据分析报告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：可以实现对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数据分析报告撰写背景、背景内容、要求及资源表格维护；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另外也可实现对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内置背景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内容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进行编辑及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使用状态查看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容的实训任务名称、关联案例、关联工具、子任务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（三）学生端：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1.数据采集：通过提供的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任务背景、任务要求及系统内置的数据采集工具进行不同维度数据采集，完成数据采集题目。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2.数据处理：通过提供的任务背景、任务要求及系统提供的原始数据表资源，在答题区根据操作题任务完成数据处理，按要求上传答案文件，完成题目。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3.数据描述性分析：通过提供的任务背景、任务要求及系统提供的原始数据表资源，在答题区根据操作题任务完成数据处理，按要求上传答案文件、填空、选择及简答题内容，完成题目。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4.数据分析与可视化：结合任务情境及任务要求，针对市场数据、运营数据、产品数据数进行分析，形成可视化数据图表，根据系统任务要求上传答案文件，完成题目。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5.数据监控与报告撰写：根据系统提供的任务背景、任务要求及原始数据，在答题区按要求完成数据监控与报告撰写。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三、其他要求：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1.软件生产厂商提供三年免费升级服务，且具有成熟完善的“7×24小时”的专业不间断的电话技术支持服务体系。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★2.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采购人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有权在成交公告期间要求成交人对所竞软件进行演示，证明所竞软件均满足以上要求，满足日常教学和比赛需求。若有不满足的功能项，则视为虚假应标，将被作为无效竞标处理。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为确保软件投入使用后，能够稳定、良好地运行，预期教学目的，将对用户相关老师及管理人员进行全面、细致的培训工作。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本培训，是指对系统的使用人员、系统管理人员进行培训。目的是使该项目的受训人员充分具备系统安装、配置、使用和故障处理的能力，了解与项目相关的系统软件和操作环境，以及对系统设计及其相关业务的认识，以便更好的开展工作。经过培训，保证贵校人员能够独立进行使用、管理、维护和日常处理，保证系统正常、安全的运行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培训内容包括：维护培训、使用操作培训几部分；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培训方式：首次为产品厂家培训工程师现场培训，后期支持远程培训及在线公开课方式进行。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培训重点：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A.数据分析工具，平台：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(1)生意参谋、百度指数、阿里指数、千牛卖家工作台、淘宝直通车、后裔采集器主要信息采集平台。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(2)通过数据采集与处理方案制定、市场数据分析、运营数据分析、产品数据分析、数据监控与报告撰写等实操学习采集、分析、可视化等技能。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(3) 案例学习、重点解析、知识测评、模拟考试等功能。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一、合同签订期：自成交通知书发出之日起七个工作日内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二、交货期：自签订合同之日起30个自然日内安装调试完毕并交付使用。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三、交货地点：采购人指定地点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四、交货方式：现场交货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五、付款方式：成交人交货验收合格15个工作日内，一次性付清货物款。成交人自收到货款之日起五个工作日内开具发票给采购人。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六、售后服务要求：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1、质量保证期：产品质量保证期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年（自交货并验收合格之日起计）。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2、故障响应时间：在2小时内做出响应，4小时到达维修现场。一般问题应在48小时内解决，重大问题或其它无法迅速解决的问题应在一周内解决。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3、按国家有关规定或厂家承诺实行“三包”。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4、免费安装调试、免费送货上门、免费现场培训。接到用户故障通知后，成交供应商或厂家维保人员须在3小时内给予答复，需要到现场解决的，到达时间不得超过12小时。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设备在免费质保期内，设备因损坏无法正常运行（人为或不可抗力因素除外）次数不得超过两次，设备损坏无法正常运行（人为或不可抗力因素除外）达到三次的，须无条件为采购人更换设备，所更换设备的售后服务要求不变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6、保证设备损坏维修时间超过2天的，为采购人免费提供同类替代设备，直至设备修复。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七、其他要求：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1、报价为采购人指定地点的现场交货价，包括：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（1）货物的价格；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（2）货物的标准附件、备品备件、专用工具的价格；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（3）设计、材料、人工、运输、保管、安装调试、装修、验收、税费、保险、利润等所有费用。如有缺项后果由成交供应商自行承担；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（4）必要的保险费用和各项税费；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（5）包括安装费用；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（6）报价相同按现场评委随机抽签的顺序排列。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八、安装要求：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安装设备之前，应先对用户人员进行现场培训，开始安装时，应让用户相关人员参与安装、检测和排除故障。成交人在施工、安装、调试等全过程中接受用户的监督。成交人在施工前必须做好安全防护工作：防止高空抛物、施工人员坠楼等，必须准备安全网、警戒线、安全绳、安全帽及一些必要的安全防护装备等等，施工准备不齐全，不能开始施工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九、总体要求：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1、中标供应商不能因为不可抗力因素外（地震、洪水、海啸等）的所有原因，拒绝供货、安装，否则我方将追究其公司及负责人的法律责任。</w:t>
            </w: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1MjA1NTE4M2QxZDU1YTVmMjRkNTRkYmZhZGIzOWEifQ=="/>
  </w:docVars>
  <w:rsids>
    <w:rsidRoot w:val="1A6B22FC"/>
    <w:rsid w:val="1A6B22FC"/>
    <w:rsid w:val="5F28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2023-05-22T03:21:00Z</dcterms:created>
  <dc:creator>Administrator</dc:creator>
  <cp:lastModifiedBy>Administrator</cp:lastModifiedBy>
  <dcterms:modified xsi:type="dcterms:W3CDTF">2023-05-22T04:58:10Z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2E598D77AAE049288D6AE1BD66720D33_11</vt:lpwstr>
  </property>
</Properties>
</file>